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5E" w:rsidRPr="00E936BE" w:rsidRDefault="00C8785E" w:rsidP="00C8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6BE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C8785E" w:rsidRPr="00E936BE" w:rsidRDefault="00C8785E" w:rsidP="00C8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C8785E" w:rsidRPr="00E936BE" w:rsidRDefault="00C8785E" w:rsidP="00C8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C8785E" w:rsidRPr="00E936BE" w:rsidRDefault="00C8785E" w:rsidP="00C8785E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C8785E" w:rsidRPr="00E936BE" w:rsidRDefault="00C8785E" w:rsidP="00C8785E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 xml:space="preserve">Математические методы обработки информации и принятия решений </w:t>
      </w:r>
    </w:p>
    <w:p w:rsidR="00B2340A" w:rsidRPr="00E936BE" w:rsidRDefault="00B2340A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Кафедра Информационной безопасности</w:t>
      </w:r>
    </w:p>
    <w:p w:rsidR="00B727C7" w:rsidRPr="00E936BE" w:rsidRDefault="00B727C7" w:rsidP="00EE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BE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B727C7" w:rsidRPr="00E936BE" w:rsidRDefault="00B727C7" w:rsidP="00EE0011">
      <w:pPr>
        <w:pStyle w:val="3"/>
        <w:spacing w:after="200" w:line="276" w:lineRule="auto"/>
        <w:rPr>
          <w:sz w:val="24"/>
        </w:rPr>
      </w:pPr>
      <w:r w:rsidRPr="00E936BE">
        <w:rPr>
          <w:sz w:val="24"/>
        </w:rPr>
        <w:t>Уравнения математической физики</w:t>
      </w:r>
    </w:p>
    <w:p w:rsidR="00B727C7" w:rsidRPr="00E936BE" w:rsidRDefault="00B727C7" w:rsidP="00EE0011">
      <w:pPr>
        <w:pStyle w:val="2"/>
        <w:spacing w:after="200" w:line="276" w:lineRule="auto"/>
        <w:rPr>
          <w:bCs/>
          <w:lang w:eastAsia="ru-RU"/>
        </w:rPr>
      </w:pPr>
      <w:r w:rsidRPr="00E936BE">
        <w:rPr>
          <w:bCs/>
          <w:lang w:eastAsia="ru-RU"/>
        </w:rPr>
        <w:tab/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B727C7" w:rsidRPr="00E936BE" w:rsidRDefault="00B727C7" w:rsidP="00EE0011">
      <w:pPr>
        <w:pStyle w:val="3"/>
        <w:spacing w:after="200" w:line="276" w:lineRule="auto"/>
        <w:rPr>
          <w:sz w:val="24"/>
        </w:rPr>
      </w:pPr>
      <w:r w:rsidRPr="00E936BE">
        <w:rPr>
          <w:sz w:val="24"/>
        </w:rPr>
        <w:t>Функциональный анализ</w:t>
      </w:r>
    </w:p>
    <w:p w:rsidR="00B727C7" w:rsidRPr="00E936BE" w:rsidRDefault="00B727C7" w:rsidP="00EE0011">
      <w:pPr>
        <w:pStyle w:val="2"/>
        <w:spacing w:after="200" w:line="276" w:lineRule="auto"/>
      </w:pPr>
      <w:r w:rsidRPr="00E936BE">
        <w:tab/>
        <w:t xml:space="preserve">Излагаются начальные главы функционального анализа: теория меры и интеграл Лебега, </w:t>
      </w:r>
      <w:proofErr w:type="spellStart"/>
      <w:r w:rsidRPr="00E936BE">
        <w:t>банаховы</w:t>
      </w:r>
      <w:proofErr w:type="spellEnd"/>
      <w:r w:rsidRPr="00E936BE">
        <w:t xml:space="preserve"> и гильбертовы пространства, линейные операторы, теория Фредгольма, элементы спектральной теории.</w:t>
      </w:r>
    </w:p>
    <w:p w:rsidR="00B727C7" w:rsidRPr="00E936BE" w:rsidRDefault="00B727C7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Вероятностные модели</w:t>
      </w:r>
    </w:p>
    <w:p w:rsidR="00B727C7" w:rsidRPr="00E936BE" w:rsidRDefault="00B727C7" w:rsidP="00EE0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>Целью освоения</w:t>
      </w:r>
      <w:r w:rsidRPr="00E93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36BE">
        <w:rPr>
          <w:rFonts w:ascii="Times New Roman" w:hAnsi="Times New Roman" w:cs="Times New Roman"/>
          <w:sz w:val="24"/>
          <w:szCs w:val="24"/>
        </w:rPr>
        <w:t xml:space="preserve">курса «Вероятностные модели» является изучение принципов выбора математических моделей реальных явлений и процессов, протекающих в условиях стохастической неопределенности. Основной упор делается на описание асимптотических аппроксимаций и на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энтропийный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подход. Значительное внимание уделяется обсуждению условий применимости вероятностных моделей и, в частности, предельных теорем теории вероятностей. Обсуждаются обобщения классических предельных теорем на выборки случайного объема. В качестве примера к конкретным прикладным задачам строятся вероятностные модели процессов эволюции финансовых индексов.</w:t>
      </w:r>
    </w:p>
    <w:p w:rsidR="00B727C7" w:rsidRPr="00E936BE" w:rsidRDefault="00B727C7" w:rsidP="00EE0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B727C7" w:rsidRPr="00E936BE" w:rsidRDefault="00B727C7" w:rsidP="00EE00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>Для задач оптимизации в гильбертовом пространстве обсуждаются вопросы существования оптимальных решений, необходимые и достаточные условия оптимальности в форме вариационного неравенства и правила множителей Лагранжа. Рассматриваются основные итерационные методы приближённого решения задач оптимизации: градиентные, Ньютона, штрафов, а также симплекс-метод решения задач линейного программирования; исследуются свойства их сходимости. Излагаются основы теории двойственности, а также основные идеи, формулировки и схемы применения принципа максимума Л. С. Понтрягина к задачам оптимального управления и метода регуляризации А. Н. Тихонова к некорректно поставленным задачам оптим</w:t>
      </w:r>
      <w:bookmarkStart w:id="0" w:name="_GoBack"/>
      <w:bookmarkEnd w:id="0"/>
      <w:r w:rsidRPr="00E936BE">
        <w:rPr>
          <w:rFonts w:ascii="Times New Roman" w:hAnsi="Times New Roman" w:cs="Times New Roman"/>
          <w:sz w:val="24"/>
          <w:szCs w:val="24"/>
        </w:rPr>
        <w:t>изации.</w:t>
      </w:r>
    </w:p>
    <w:p w:rsidR="00B727C7" w:rsidRPr="00E936BE" w:rsidRDefault="00B727C7" w:rsidP="00EE0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Оптимальное управление</w:t>
      </w:r>
    </w:p>
    <w:p w:rsidR="00B727C7" w:rsidRPr="00E936BE" w:rsidRDefault="00B727C7" w:rsidP="003A53A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Годовой курс оптимальное управление читается в 5-м и 6-м семестрах. </w:t>
      </w:r>
    </w:p>
    <w:p w:rsidR="00B727C7" w:rsidRPr="00E936BE" w:rsidRDefault="00B727C7" w:rsidP="003A53A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5-м семестре исследуется линейная задача </w:t>
      </w:r>
      <w:proofErr w:type="spell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быстродействия</w:t>
      </w:r>
      <w:proofErr w:type="gram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аппарата опорных функций исследуются классические вопросы оптимального управления: управляемость, теорема существования оптимального управления, необходимые условия оптимальности в форме принципа максимума Л.С. Понтрягина, достаточные условия оптимальности. Полученные результаты применяются для исследования линейной задачи оптимального управления с терминальным функционалом и свободным правым концом.</w:t>
      </w:r>
    </w:p>
    <w:p w:rsidR="00B727C7" w:rsidRPr="00E936BE" w:rsidRDefault="00B727C7" w:rsidP="003A53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6-м семестре изучается нелинейная задача оптимального управления с интегральным функционалом. Формулируется и доказывается теорема о необходимых условиях оптимальности с привлечением техники вариаций </w:t>
      </w:r>
      <w:proofErr w:type="spell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Макшейна</w:t>
      </w:r>
      <w:proofErr w:type="spell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примере нелинейной задачи быстродействия подробно изучаются идеи метода динамического программирования. Рассматриваются различные примеры задач оптимального управления, включая задачи с особыми режимами и задачи на бесконечном промежутке времени.</w:t>
      </w:r>
    </w:p>
    <w:p w:rsidR="00B727C7" w:rsidRPr="00E936BE" w:rsidRDefault="00B727C7" w:rsidP="00EE0011">
      <w:pPr>
        <w:pStyle w:val="8"/>
        <w:spacing w:before="0" w:after="2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36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кибернетики       </w:t>
      </w:r>
    </w:p>
    <w:p w:rsidR="00C8785E" w:rsidRPr="00E936BE" w:rsidRDefault="00B727C7" w:rsidP="00C8785E">
      <w:pPr>
        <w:shd w:val="clear" w:color="auto" w:fill="FFFFFF"/>
        <w:spacing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</w:r>
      <w:r w:rsidR="00C8785E" w:rsidRPr="00E936BE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="00C8785E" w:rsidRPr="00E936BE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="00C8785E" w:rsidRPr="00E936BE">
        <w:rPr>
          <w:rFonts w:ascii="Times New Roman" w:eastAsia="Times New Roman" w:hAnsi="Times New Roman" w:cs="Times New Roman"/>
          <w:sz w:val="24"/>
          <w:szCs w:val="24"/>
        </w:rPr>
        <w:t xml:space="preserve">» (ранее «Элементы кибернетики»), создателем и основным </w:t>
      </w:r>
      <w:proofErr w:type="gramStart"/>
      <w:r w:rsidR="00C8785E" w:rsidRPr="00E936BE">
        <w:rPr>
          <w:rFonts w:ascii="Times New Roman" w:eastAsia="Times New Roman" w:hAnsi="Times New Roman" w:cs="Times New Roman"/>
          <w:sz w:val="24"/>
          <w:szCs w:val="24"/>
        </w:rPr>
        <w:t>лектором</w:t>
      </w:r>
      <w:proofErr w:type="gramEnd"/>
      <w:r w:rsidR="00C8785E" w:rsidRPr="00E936BE">
        <w:rPr>
          <w:rFonts w:ascii="Times New Roman" w:eastAsia="Times New Roman" w:hAnsi="Times New Roman" w:cs="Times New Roman"/>
          <w:sz w:val="24"/>
          <w:szCs w:val="24"/>
        </w:rPr>
        <w:t xml:space="preserve"> которого был чл.-корр. РАН С.В. Яблонский, читается на факультете ВМК с первых лет его существования. Он является продолжением курса «Дискретная математика» и посвящён изложению основных моделей, методов и результатов 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:rsidR="00C8785E" w:rsidRPr="00E936BE" w:rsidRDefault="00C8785E" w:rsidP="00C878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E936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математические модели различных типов электронных схем, систем обработки информации и управления, алгоритмов и программ. </w:t>
      </w:r>
      <w:proofErr w:type="gramStart"/>
      <w:r w:rsidRPr="00E936BE">
        <w:rPr>
          <w:rFonts w:ascii="Times New Roman" w:eastAsia="Times New Roman" w:hAnsi="Times New Roman" w:cs="Times New Roman"/>
          <w:sz w:val="24"/>
          <w:szCs w:val="24"/>
        </w:rPr>
        <w:t>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E936BE">
        <w:rPr>
          <w:rFonts w:ascii="Times New Roman" w:eastAsia="Times New Roman" w:hAnsi="Times New Roman" w:cs="Times New Roman"/>
          <w:sz w:val="24"/>
          <w:szCs w:val="24"/>
        </w:rPr>
        <w:softHyphen/>
        <w:t>тов и др. В программу курса входят классические результаты К.</w:t>
      </w:r>
      <w:proofErr w:type="gramEnd"/>
      <w:r w:rsidRPr="00E936BE">
        <w:rPr>
          <w:rFonts w:ascii="Times New Roman" w:eastAsia="Times New Roman" w:hAnsi="Times New Roman" w:cs="Times New Roman"/>
          <w:sz w:val="24"/>
          <w:szCs w:val="24"/>
        </w:rPr>
        <w:t xml:space="preserve"> Шеннона, С.В.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:rsidR="00B2340A" w:rsidRPr="00E936BE" w:rsidRDefault="00B2340A" w:rsidP="00C8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Статистическая физика</w:t>
      </w:r>
    </w:p>
    <w:p w:rsidR="00B2340A" w:rsidRPr="00E936BE" w:rsidRDefault="00B2340A" w:rsidP="00B2340A">
      <w:pPr>
        <w:pStyle w:val="a5"/>
        <w:spacing w:after="20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>Курс посвящен введению в статистическую физику, изучающую основные закономерности поведения макроскопических сред, т.е. тел, состоящих из огромного числа отдельных частиц – атомов и молекул. Ку</w:t>
      </w:r>
      <w:proofErr w:type="gramStart"/>
      <w:r w:rsidRPr="00E936BE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E936BE">
        <w:rPr>
          <w:rFonts w:ascii="Times New Roman" w:hAnsi="Times New Roman" w:cs="Times New Roman"/>
          <w:sz w:val="24"/>
          <w:szCs w:val="24"/>
        </w:rPr>
        <w:t xml:space="preserve">ючает разделы термодинамики, молекулярной физики и статистической физики. Основное внимание уделяется изучению равновесных процессов: начала термодинамики, основные распределения статистической физики, энтропия, термодинамические потенциалы, статистическая сумма, реальные газы. </w:t>
      </w:r>
      <w:r w:rsidRPr="00E936BE"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курса посвящена изложению теории флуктуаций и основ физической кинетики.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Теоретические основы информационной безопасности</w:t>
      </w:r>
    </w:p>
    <w:p w:rsidR="00B2340A" w:rsidRPr="00E936BE" w:rsidRDefault="00B2340A" w:rsidP="00C87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В курсе систематически излагаются основы теоретической компьютерной безопасности. Рассматриваются основные </w:t>
      </w:r>
      <w:proofErr w:type="gramStart"/>
      <w:r w:rsidRPr="00E936BE">
        <w:rPr>
          <w:rFonts w:ascii="Times New Roman" w:hAnsi="Times New Roman" w:cs="Times New Roman"/>
          <w:sz w:val="24"/>
          <w:szCs w:val="24"/>
        </w:rPr>
        <w:t>математический</w:t>
      </w:r>
      <w:proofErr w:type="gramEnd"/>
      <w:r w:rsidRPr="00E936BE">
        <w:rPr>
          <w:rFonts w:ascii="Times New Roman" w:hAnsi="Times New Roman" w:cs="Times New Roman"/>
          <w:sz w:val="24"/>
          <w:szCs w:val="24"/>
        </w:rPr>
        <w:t xml:space="preserve"> модели управления доступам в компьютерных системах: модели дискреционного доступа, модели мандатного управления доступом, модели обеспечения целостности при доступе к ресурсу. Рассматриваются также различные модели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невлияния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в компьютерных системах. Уделяется внимание моделям аудита компьютерных систем. В завершении курса рассматриваются подходы к построению систем обнаружения вторжений компьютерных атак.</w:t>
      </w:r>
    </w:p>
    <w:p w:rsidR="00B727C7" w:rsidRPr="00E936BE" w:rsidRDefault="00B727C7" w:rsidP="00EE0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6BE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:rsidR="00B727C7" w:rsidRPr="00E936BE" w:rsidRDefault="00B727C7" w:rsidP="003A53A1">
      <w:pPr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Pr="00E936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3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C57C6E" w:rsidRPr="00E936BE" w:rsidRDefault="00C57C6E" w:rsidP="00EE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Численные методы</w:t>
      </w:r>
    </w:p>
    <w:p w:rsidR="00C57C6E" w:rsidRPr="00E936BE" w:rsidRDefault="00C57C6E" w:rsidP="00EE001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направлен на развитие навыков у студентов в решении типовых задач алгебры, математического анализа, обыкновенных дифференциальных уравнений и уравнений в частных производных. Рассматриваются те методы, которые выдержали испытание практикой и применяются для решения реальных прикладных задач. Устанавливаются связи между различными разделами математики и численными методами. Теоретический материал иллюстрируется на лекциях примерами с результатами расчетов.</w:t>
      </w:r>
    </w:p>
    <w:p w:rsidR="00B727C7" w:rsidRPr="00E936BE" w:rsidRDefault="00B727C7" w:rsidP="00EE0011">
      <w:pPr>
        <w:pStyle w:val="l"/>
        <w:spacing w:before="0" w:beforeAutospacing="0" w:after="200" w:afterAutospacing="0" w:line="276" w:lineRule="auto"/>
        <w:jc w:val="center"/>
        <w:rPr>
          <w:b/>
        </w:rPr>
      </w:pPr>
      <w:r w:rsidRPr="00E936BE">
        <w:rPr>
          <w:b/>
        </w:rPr>
        <w:t>Случайные процессы</w:t>
      </w:r>
    </w:p>
    <w:p w:rsidR="00C57C6E" w:rsidRPr="00E936BE" w:rsidRDefault="00B727C7" w:rsidP="00B2340A">
      <w:pPr>
        <w:pStyle w:val="l"/>
        <w:spacing w:before="0" w:beforeAutospacing="0" w:after="200" w:afterAutospacing="0" w:line="276" w:lineRule="auto"/>
        <w:ind w:firstLine="708"/>
        <w:jc w:val="both"/>
      </w:pPr>
      <w:r w:rsidRPr="00E936BE">
        <w:t xml:space="preserve">В рамках данного курса рассматриваются основные модели теории случайных </w:t>
      </w:r>
      <w:proofErr w:type="gramStart"/>
      <w:r w:rsidRPr="00E936BE">
        <w:t>процессов</w:t>
      </w:r>
      <w:proofErr w:type="gramEnd"/>
      <w:r w:rsidRPr="00E936BE">
        <w:t xml:space="preserve"> такие как цепи Маркова с дискретным и непрерывным временем, корреляционная теория случайных процессов, стохастический интеграл, линейные стохастические дифференциальные уравнения, стационарные процессы. </w:t>
      </w:r>
      <w:proofErr w:type="gramStart"/>
      <w:r w:rsidRPr="00E936BE">
        <w:t xml:space="preserve">Более подробно исследованы свойства </w:t>
      </w:r>
      <w:proofErr w:type="spellStart"/>
      <w:r w:rsidRPr="00E936BE">
        <w:t>винеровского</w:t>
      </w:r>
      <w:proofErr w:type="spellEnd"/>
      <w:r w:rsidRPr="00E936BE">
        <w:t xml:space="preserve"> и пуассоновского процессов.</w:t>
      </w:r>
      <w:proofErr w:type="gramEnd"/>
      <w:r w:rsidRPr="00E936BE">
        <w:t xml:space="preserve"> </w:t>
      </w:r>
      <w:proofErr w:type="gramStart"/>
      <w:r w:rsidRPr="00E936BE">
        <w:t xml:space="preserve">Во второй части курса рассмотрены некоторые прикладные задачи теории случайных процессов: линейные преобразования стационарных процессов и задачи о наилучшей линейной оценки (прогноз и фильтрация). </w:t>
      </w:r>
      <w:proofErr w:type="gramEnd"/>
    </w:p>
    <w:p w:rsidR="00C57C6E" w:rsidRPr="00E936BE" w:rsidRDefault="00C57C6E" w:rsidP="00EE0011">
      <w:pPr>
        <w:pStyle w:val="a3"/>
        <w:spacing w:after="200" w:line="276" w:lineRule="auto"/>
        <w:ind w:left="0"/>
        <w:rPr>
          <w:sz w:val="24"/>
          <w:szCs w:val="24"/>
        </w:rPr>
      </w:pPr>
      <w:r w:rsidRPr="00E936BE">
        <w:rPr>
          <w:sz w:val="24"/>
          <w:szCs w:val="24"/>
        </w:rPr>
        <w:t>Компьютерная графика</w:t>
      </w:r>
    </w:p>
    <w:p w:rsidR="00C57C6E" w:rsidRPr="00E936BE" w:rsidRDefault="00C57C6E" w:rsidP="00EE00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псевдотонирование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>.</w:t>
      </w:r>
    </w:p>
    <w:p w:rsidR="005F54DB" w:rsidRPr="00E936BE" w:rsidRDefault="005F54DB" w:rsidP="005F54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Криптографические свойства дискретных функций</w:t>
      </w:r>
    </w:p>
    <w:p w:rsidR="005F54DB" w:rsidRPr="00E936BE" w:rsidRDefault="005F54DB" w:rsidP="005F54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курсе изучаются основные криптографические свойства булевых функций (систем булевых функций), формировавшиеся в ходе развития математических методов криптографического анализа. Рассматривается преобразование Фурь</w:t>
      </w:r>
      <w:proofErr w:type="gram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Адамара) булевых функций и свойства их спектральных представлений. Изучаются основные понятия групповой эквивалентности булевых функций. Доказывается ряд важных криптографических свойств функций, связанных с их группами инерции и пространствами линейных структур. Исследуются свойства автокорреляционной функции и функции взаимной корреляции. Вводятся понятия нелинейност</w:t>
      </w:r>
      <w:proofErr w:type="gram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нелинейности), корреляционной иммунности и алгебраической иммунности булевых функций и описывающие их параметры. Доказываются критерии наличия этих свойств у функции. Анализируются связи между различными криптографическими свойствами функций. В рамках курса обосновывается эффективность ряда алгоритмов решения в процессе </w:t>
      </w:r>
      <w:proofErr w:type="spell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криптоанализа</w:t>
      </w:r>
      <w:proofErr w:type="spell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вычислительно трудных задач. Изучение опирается на курсы алгебры и дискретной математики.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 xml:space="preserve">Математические основы </w:t>
      </w:r>
      <w:proofErr w:type="spellStart"/>
      <w:r w:rsidRPr="00E936BE">
        <w:rPr>
          <w:rFonts w:ascii="Times New Roman" w:hAnsi="Times New Roman" w:cs="Times New Roman"/>
          <w:b/>
          <w:sz w:val="24"/>
          <w:szCs w:val="24"/>
        </w:rPr>
        <w:t>криптологии</w:t>
      </w:r>
      <w:proofErr w:type="spellEnd"/>
    </w:p>
    <w:p w:rsidR="00B2340A" w:rsidRPr="00E936BE" w:rsidRDefault="00B2340A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>В курсе даётся систематическое изложение основных алгебраических объектов, которые применяются в криптографии. Основное внимание уделяется основам теории чисел и теории групп подстановок. Особо рассматриваются вопросы строения конечных полей и конечных групп.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Программно-аппаратные средства защиты информации</w:t>
      </w:r>
    </w:p>
    <w:p w:rsidR="00B2340A" w:rsidRPr="00E936BE" w:rsidRDefault="00B2340A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В курсе рассматриваются базовые программно-аппаратные средства защиты информации. Даётся введение в управление рисками информационной безопасности. Изучаются основные модели и средства управления доступом в компьютерных системах. Изучается физическая безопасность и безопасность окружения. Также уделяется внимание российскому </w:t>
      </w:r>
      <w:proofErr w:type="gramStart"/>
      <w:r w:rsidRPr="00E936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936BE">
        <w:rPr>
          <w:rFonts w:ascii="Times New Roman" w:hAnsi="Times New Roman" w:cs="Times New Roman"/>
          <w:sz w:val="24"/>
          <w:szCs w:val="24"/>
        </w:rPr>
        <w:t xml:space="preserve"> международному законодательству в области защиты информации.</w:t>
      </w:r>
    </w:p>
    <w:p w:rsidR="005F54DB" w:rsidRPr="00E936BE" w:rsidRDefault="005F54DB" w:rsidP="005F54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криптографического анализа</w:t>
      </w:r>
    </w:p>
    <w:p w:rsidR="005F54DB" w:rsidRPr="00E936BE" w:rsidRDefault="005F54DB" w:rsidP="005F54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посвящён основам криптографического анализа базовых криптографических примитивов: блочных и потоковых шифров, хэш-функций и схем </w:t>
      </w:r>
      <w:proofErr w:type="spellStart"/>
      <w:proofErr w:type="gram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</w:t>
      </w:r>
      <w:proofErr w:type="gram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подписи. Рассматриваются статистические методы анализа, корреляционные методы, линейный и дифференциальный методы, а также методы, основанные на парадоксе о днях рождения. В рамках курса предусмотрен практикум по </w:t>
      </w:r>
      <w:proofErr w:type="spellStart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криптоанализу</w:t>
      </w:r>
      <w:proofErr w:type="spellEnd"/>
      <w:r w:rsidRPr="00E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модельных шифров.</w:t>
      </w:r>
    </w:p>
    <w:p w:rsidR="005F54DB" w:rsidRPr="00E936BE" w:rsidRDefault="005F54DB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C7" w:rsidRPr="00E936BE" w:rsidRDefault="00C57C6E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C57C6E" w:rsidRPr="00E936BE" w:rsidRDefault="00C57C6E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Математические модели в экономике</w:t>
      </w:r>
    </w:p>
    <w:p w:rsidR="00C57C6E" w:rsidRPr="00E936BE" w:rsidRDefault="00C57C6E" w:rsidP="00EE00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  <w:t>Цель данного курса - познакомить слушателей с различными математическими моделями в экономике такими, как модель межотраслевого баланса, модель экономического планирования и оптимального экономического роста, модель конкурентного равновесия, а также с некоторыми разделами математики такими, как теория неотрицательных матриц и её приложения в экономике.</w:t>
      </w:r>
    </w:p>
    <w:p w:rsidR="00C57C6E" w:rsidRPr="00E936BE" w:rsidRDefault="00C57C6E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lastRenderedPageBreak/>
        <w:t>Теория игр и исследование операций</w:t>
      </w:r>
    </w:p>
    <w:p w:rsidR="00C57C6E" w:rsidRPr="00E936BE" w:rsidRDefault="00C57C6E" w:rsidP="00EE00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  <w:t xml:space="preserve">Курс разбит на три части. В первой излагается теория антагонистических игр, теоремы существования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точек, свойства оптимальных смешанных стратегий, методы решения матричных и выпуклых непрерывных игр в смешанных стратегиях, приводятся классические модели  игр («нападение-оборона» и дуэли), рассматриваются многошаговые игры с полной информацией. Во второй части рассматриваются неантагонистические игры двух и многих лиц. Основные ее разделы: существование и методы поиска ситуаций равновесия </w:t>
      </w:r>
      <w:proofErr w:type="gramStart"/>
      <w:r w:rsidRPr="00E936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36BE">
        <w:rPr>
          <w:rFonts w:ascii="Times New Roman" w:hAnsi="Times New Roman" w:cs="Times New Roman"/>
          <w:sz w:val="24"/>
          <w:szCs w:val="24"/>
        </w:rPr>
        <w:t>в том числе в смешанных стратегиях для биматричных игр), оптимальные стратегии игрока-лидера в иерархических играх двух лиц. В третьей части рассматривается теория принятия решений: многокритериальная оптимизация, ядра бинарных отношений, общая модель операции и подход к ее исследованию на основе принципа гарантированного результата, необходимые условия для оптимальных стратегий и некоторые задачи оптимального распределения ресурсов.</w:t>
      </w:r>
    </w:p>
    <w:p w:rsidR="00C57C6E" w:rsidRPr="00E936BE" w:rsidRDefault="00C57C6E" w:rsidP="00EE0011">
      <w:pPr>
        <w:pStyle w:val="3"/>
        <w:spacing w:after="200" w:line="276" w:lineRule="auto"/>
        <w:rPr>
          <w:sz w:val="24"/>
        </w:rPr>
      </w:pPr>
      <w:r w:rsidRPr="00E936BE">
        <w:rPr>
          <w:sz w:val="24"/>
        </w:rPr>
        <w:t>Дополнительные главы дискретной математики и кибернетики</w:t>
      </w:r>
    </w:p>
    <w:p w:rsidR="00C57C6E" w:rsidRPr="00E936BE" w:rsidRDefault="00C57C6E" w:rsidP="00B2340A">
      <w:pPr>
        <w:pStyle w:val="2"/>
        <w:spacing w:after="200" w:line="276" w:lineRule="auto"/>
        <w:rPr>
          <w:lang w:eastAsia="ru-RU"/>
        </w:rPr>
      </w:pPr>
      <w:r w:rsidRPr="00E936BE">
        <w:rPr>
          <w:lang w:eastAsia="ru-RU"/>
        </w:rPr>
        <w:tab/>
        <w:t xml:space="preserve">Курс состоит из четырех частей. В первой части излагаются основы теории функций многозначной логики. Доказываются критерии </w:t>
      </w:r>
      <w:proofErr w:type="gramStart"/>
      <w:r w:rsidRPr="00E936BE">
        <w:rPr>
          <w:lang w:eastAsia="ru-RU"/>
        </w:rPr>
        <w:t>полноты</w:t>
      </w:r>
      <w:proofErr w:type="gramEnd"/>
      <w:r w:rsidRPr="00E936BE">
        <w:rPr>
          <w:lang w:eastAsia="ru-RU"/>
        </w:rPr>
        <w:t xml:space="preserve"> и устанавливается ряд существенных отличий функций многозначной логики от булевых функций. Во второй части изучаются ограниченно – детерминированные (автоматные) функции. Основное внимание уделяется способам задания автоматных функций</w:t>
      </w:r>
      <w:proofErr w:type="gramStart"/>
      <w:r w:rsidRPr="00E936BE">
        <w:rPr>
          <w:lang w:eastAsia="ru-RU"/>
        </w:rPr>
        <w:t xml:space="preserve"> :</w:t>
      </w:r>
      <w:proofErr w:type="gramEnd"/>
      <w:r w:rsidRPr="00E936BE">
        <w:rPr>
          <w:lang w:eastAsia="ru-RU"/>
        </w:rPr>
        <w:t xml:space="preserve">   деревьями, каноническими уравнениями, диаграммами Мура и схемами из автоматных элементов. Третья часть посвящена машинам Тьюринга и вычислимым функциям. Доказывается вычислимость частично рекурсивных функций. В четвертой части доказывается теорема Форда и </w:t>
      </w:r>
      <w:proofErr w:type="spellStart"/>
      <w:r w:rsidRPr="00E936BE">
        <w:rPr>
          <w:lang w:eastAsia="ru-RU"/>
        </w:rPr>
        <w:t>Фалкерсона</w:t>
      </w:r>
      <w:proofErr w:type="spellEnd"/>
      <w:r w:rsidRPr="00E936BE">
        <w:rPr>
          <w:lang w:eastAsia="ru-RU"/>
        </w:rPr>
        <w:t xml:space="preserve"> о максимальном потоке в сети.</w:t>
      </w:r>
    </w:p>
    <w:p w:rsidR="00C57C6E" w:rsidRPr="00E936BE" w:rsidRDefault="00C57C6E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C57C6E" w:rsidRPr="00E936BE" w:rsidRDefault="00C57C6E" w:rsidP="003A53A1">
      <w:pPr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  <w:t xml:space="preserve">Курс начинается с рассмотрения основных понятий систем управления базами данных (СУБД). Выделяются ключевые отличия СУБД от файловой системы и основные черты таких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дореляционных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моделей данных как иерархическая, сетевая и модель данных инвертированных таблиц. Далее рассматривается реляционная модель данных (включая механизмы манипулирования) и теория проектирования реляционных БД на основе процедуры нормализации. После этого описывается процесс проектирование БД с использованием диаграмм «сущность-связь» и диаграмм классов языка UML и рассматриваются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модели данных: объектно-ориентированная модель, объектно-реляционные расширения SQL, "истинная" реляционная модель. В рамках курса также рассматриваются базовые средства языка </w:t>
      </w:r>
      <w:r w:rsidRPr="00E936BE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E936BE">
        <w:rPr>
          <w:rFonts w:ascii="Times New Roman" w:hAnsi="Times New Roman" w:cs="Times New Roman"/>
          <w:sz w:val="24"/>
          <w:szCs w:val="24"/>
        </w:rPr>
        <w:t xml:space="preserve"> для определения и изменения схемы базы данных, выборки и модификации данных, авторизации доступа и управления транзакциями.</w:t>
      </w:r>
    </w:p>
    <w:p w:rsidR="00C57C6E" w:rsidRPr="00E936BE" w:rsidRDefault="00C57C6E" w:rsidP="00EE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Суперкомпьютеры и параллельная обработка данных</w:t>
      </w:r>
    </w:p>
    <w:p w:rsidR="00C57C6E" w:rsidRPr="00E936BE" w:rsidRDefault="00C57C6E" w:rsidP="003A5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Данный курс ориентирован на получение базовых знаний и практических навыков в области параллельных вычислений, методов параллельной обработки данных, технологий параллельного программирования и суперкомпьютерных технологий. Материал иллюстрируется примерами суперкомпьютерных систем и технологий, где параллелизм </w:t>
      </w:r>
      <w:r w:rsidRPr="00E936BE">
        <w:rPr>
          <w:rFonts w:ascii="Times New Roman" w:hAnsi="Times New Roman" w:cs="Times New Roman"/>
          <w:sz w:val="24"/>
          <w:szCs w:val="24"/>
        </w:rPr>
        <w:lastRenderedPageBreak/>
        <w:t>проявляется особенно ярко. Вместе с этим, показывается исключительно важная роль суперкомпьютерных систем как неотъемлемой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:rsidR="00C8785E" w:rsidRPr="00E936BE" w:rsidRDefault="00C8785E" w:rsidP="00C8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C8785E" w:rsidRPr="00E936BE" w:rsidRDefault="00C8785E" w:rsidP="00C8785E">
      <w:pPr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E936BE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E936BE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Введение в теорию сложности вычислений</w:t>
      </w:r>
    </w:p>
    <w:p w:rsidR="00B2340A" w:rsidRPr="00E936BE" w:rsidRDefault="00B2340A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Курс посвящён теории вычислительной сложности алгоритмов. Рассматриваются две модели вычислений: однородная и неоднородная. Вводятся основные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сложностные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классы, в том числе P, NP и PSPACE, изучается их соотношение друг с другом. Значительная часть курса посвящена вероятностным алгоритмам и вычислениям с оракулом. Также в курсе рассматривается полиномиальная иерархия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сложностных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Коды аутентификации и хэш-функции</w:t>
      </w:r>
    </w:p>
    <w:p w:rsidR="00B2340A" w:rsidRPr="00E936BE" w:rsidRDefault="00B2340A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В курсе даётся систематическое изложение теории криптографических хэш-функций. Рассматриваются вопросы синтеза хэш-функции и изучаются базовые конструкции. Уделяется внимание вопросам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криптоанализа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хэш-функций, рассматриваются угрозы поиска коллизий и вычисления второго прообраза. Помимо хэш-функций в курсе изучаются родственные им коды аутентификации. Большое внимание уделяется практическим заданиям и примерам.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6BE">
        <w:rPr>
          <w:rFonts w:ascii="Times New Roman" w:hAnsi="Times New Roman" w:cs="Times New Roman"/>
          <w:b/>
          <w:sz w:val="24"/>
          <w:szCs w:val="24"/>
        </w:rPr>
        <w:t>Криптопротоколы</w:t>
      </w:r>
      <w:proofErr w:type="spellEnd"/>
    </w:p>
    <w:p w:rsidR="00B2340A" w:rsidRPr="00E936BE" w:rsidRDefault="00B2340A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Курс посвящён вопросам синтеза и анализа криптографических протоколов. Вводится понятие криптографического протокола, приводятся базовые свойства безопасности, которым должен удовлетворять стойкий криптографический протокол.  Рассматриваются примитивные игровые протоколы, различные схемы электронной цифровой подписи, протоколы идентификации, протоколы доказательства с нулевым разглашением, протоколы передачи и распределения ключей, протоколы разделения секрета, электронные деньги в рамках модели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Брэнда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>. В курсе также даётся введение в эллиптические кривые и их приложения в криптографии.</w:t>
      </w:r>
    </w:p>
    <w:p w:rsidR="00B2340A" w:rsidRPr="00E936BE" w:rsidRDefault="00B2340A" w:rsidP="00B2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BE">
        <w:rPr>
          <w:rFonts w:ascii="Times New Roman" w:hAnsi="Times New Roman" w:cs="Times New Roman"/>
          <w:b/>
          <w:sz w:val="24"/>
          <w:szCs w:val="24"/>
        </w:rPr>
        <w:t>Методы теории чисел в криптографии</w:t>
      </w:r>
    </w:p>
    <w:p w:rsidR="00B2340A" w:rsidRPr="00E936BE" w:rsidRDefault="00B2340A" w:rsidP="00B23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BE">
        <w:rPr>
          <w:rFonts w:ascii="Times New Roman" w:hAnsi="Times New Roman" w:cs="Times New Roman"/>
          <w:sz w:val="24"/>
          <w:szCs w:val="24"/>
        </w:rPr>
        <w:t xml:space="preserve">Курс посвящен углубленному изучению методов теории чисел, которые применяются в криптографии. Рассматриваются основные понятия, определения и факты теории чисел, изучаются вопросы строения конечных полей,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полец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и групп, которые часто применяются в </w:t>
      </w:r>
      <w:r w:rsidRPr="00E936BE">
        <w:rPr>
          <w:rFonts w:ascii="Times New Roman" w:hAnsi="Times New Roman" w:cs="Times New Roman"/>
          <w:sz w:val="24"/>
          <w:szCs w:val="24"/>
        </w:rPr>
        <w:lastRenderedPageBreak/>
        <w:t xml:space="preserve">криптографических задачах. Даются основы теории распределения простых чисел, приводятся методы решения линейных сравнений и систем и методы решения сравнений второй степени. Центральное место курса занимают основы теории делимости, и её использование при решении </w:t>
      </w:r>
      <w:proofErr w:type="spellStart"/>
      <w:r w:rsidRPr="00E936BE">
        <w:rPr>
          <w:rFonts w:ascii="Times New Roman" w:hAnsi="Times New Roman" w:cs="Times New Roman"/>
          <w:sz w:val="24"/>
          <w:szCs w:val="24"/>
        </w:rPr>
        <w:t>диофантовых</w:t>
      </w:r>
      <w:proofErr w:type="spellEnd"/>
      <w:r w:rsidRPr="00E936BE">
        <w:rPr>
          <w:rFonts w:ascii="Times New Roman" w:hAnsi="Times New Roman" w:cs="Times New Roman"/>
          <w:sz w:val="24"/>
          <w:szCs w:val="24"/>
        </w:rPr>
        <w:t xml:space="preserve"> уравнений, основы теории арифметических функций и теории цепных дробей. Подробно рассматриваются криптографические свойства логарифмической функции.</w:t>
      </w:r>
    </w:p>
    <w:p w:rsidR="00C57C6E" w:rsidRPr="00E936BE" w:rsidRDefault="00C57C6E" w:rsidP="00EE0011">
      <w:pPr>
        <w:pStyle w:val="3"/>
        <w:spacing w:after="200" w:line="276" w:lineRule="auto"/>
        <w:rPr>
          <w:sz w:val="24"/>
        </w:rPr>
      </w:pPr>
      <w:r w:rsidRPr="00E936BE">
        <w:rPr>
          <w:sz w:val="24"/>
        </w:rPr>
        <w:t>Пакеты прикладных программ</w:t>
      </w:r>
    </w:p>
    <w:p w:rsidR="00C57C6E" w:rsidRPr="00E936BE" w:rsidRDefault="00C57C6E" w:rsidP="00EE0011">
      <w:pPr>
        <w:pStyle w:val="2"/>
        <w:spacing w:after="200" w:line="276" w:lineRule="auto"/>
      </w:pPr>
      <w:r w:rsidRPr="00E936BE">
        <w:tab/>
      </w:r>
      <w:r w:rsidR="00C8785E" w:rsidRPr="00E936BE">
        <w:t>Курс посвящен обзору современного математического программного обеспечения, применяемого в математических исследованиях. Излагаются основные возможности пакетов, их технические характеристики, примеры использования в различных областях математики.</w:t>
      </w:r>
    </w:p>
    <w:p w:rsidR="00C57C6E" w:rsidRPr="00E936BE" w:rsidRDefault="00C57C6E" w:rsidP="00AF316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7C6E" w:rsidRPr="00E936BE" w:rsidRDefault="00C57C6E" w:rsidP="00AF316F">
      <w:pPr>
        <w:rPr>
          <w:rFonts w:ascii="Times New Roman" w:hAnsi="Times New Roman" w:cs="Times New Roman"/>
          <w:sz w:val="24"/>
          <w:szCs w:val="24"/>
        </w:rPr>
      </w:pPr>
    </w:p>
    <w:p w:rsidR="00C57C6E" w:rsidRPr="00E936BE" w:rsidRDefault="00C57C6E" w:rsidP="00AF31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7C7" w:rsidRPr="00E936BE" w:rsidRDefault="00B727C7" w:rsidP="00B727C7">
      <w:pPr>
        <w:pStyle w:val="2"/>
        <w:spacing w:line="360" w:lineRule="auto"/>
      </w:pPr>
    </w:p>
    <w:p w:rsidR="00B727C7" w:rsidRPr="00E936BE" w:rsidRDefault="00B727C7" w:rsidP="00B727C7">
      <w:pPr>
        <w:pStyle w:val="2"/>
        <w:spacing w:line="360" w:lineRule="auto"/>
        <w:rPr>
          <w:bCs/>
          <w:lang w:eastAsia="ru-RU"/>
        </w:rPr>
      </w:pPr>
    </w:p>
    <w:p w:rsidR="00B727C7" w:rsidRPr="00E936BE" w:rsidRDefault="00B727C7" w:rsidP="00B7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27C7" w:rsidRPr="00E936BE" w:rsidSect="00B727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7C7"/>
    <w:rsid w:val="00346544"/>
    <w:rsid w:val="003A53A1"/>
    <w:rsid w:val="00436D72"/>
    <w:rsid w:val="005F54DB"/>
    <w:rsid w:val="00926935"/>
    <w:rsid w:val="00A31F2A"/>
    <w:rsid w:val="00A85086"/>
    <w:rsid w:val="00AF316F"/>
    <w:rsid w:val="00B2340A"/>
    <w:rsid w:val="00B35010"/>
    <w:rsid w:val="00B727C7"/>
    <w:rsid w:val="00C57C6E"/>
    <w:rsid w:val="00C73789"/>
    <w:rsid w:val="00C8785E"/>
    <w:rsid w:val="00E06181"/>
    <w:rsid w:val="00E936BE"/>
    <w:rsid w:val="00EE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6"/>
  </w:style>
  <w:style w:type="paragraph" w:styleId="1">
    <w:name w:val="heading 1"/>
    <w:basedOn w:val="a"/>
    <w:next w:val="a"/>
    <w:link w:val="10"/>
    <w:uiPriority w:val="9"/>
    <w:qFormat/>
    <w:rsid w:val="00C5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2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7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B72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727C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727C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727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72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">
    <w:name w:val="l"/>
    <w:basedOn w:val="a"/>
    <w:rsid w:val="00B7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C57C6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C57C6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unhideWhenUsed/>
    <w:rsid w:val="00B234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2340A"/>
  </w:style>
  <w:style w:type="paragraph" w:customStyle="1" w:styleId="body">
    <w:name w:val="body"/>
    <w:basedOn w:val="a"/>
    <w:next w:val="a"/>
    <w:rsid w:val="00B23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2504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Уравнения математической физики</vt:lpstr>
      <vt:lpstr>        Функциональный анализ</vt:lpstr>
      <vt:lpstr>        Дополнительные главы дискретной математики и кибернетики</vt:lpstr>
      <vt:lpstr>        Пакеты прикладных программ</vt:lpstr>
    </vt:vector>
  </TitlesOfParts>
  <Company>Hewlett-Packard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2</cp:revision>
  <dcterms:created xsi:type="dcterms:W3CDTF">2020-01-30T17:10:00Z</dcterms:created>
  <dcterms:modified xsi:type="dcterms:W3CDTF">2020-01-30T17:10:00Z</dcterms:modified>
</cp:coreProperties>
</file>